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c>
          <w:tcPr>
            <w:tcBorders>
              <w:top w:color="dddddd" w:space="0" w:sz="8" w:val="single"/>
              <w:left w:color="dddddd" w:space="0" w:sz="8" w:val="single"/>
              <w:bottom w:color="dddddd" w:space="0" w:sz="8" w:val="single"/>
              <w:right w:color="dddddd" w:space="0" w:sz="8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</w:t>
            </w:r>
          </w:p>
          <w:tbl>
            <w:tblPr>
              <w:tblStyle w:val="Table2"/>
              <w:tblW w:w="90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765"/>
              <w:gridCol w:w="5265"/>
              <w:tblGridChange w:id="0">
                <w:tblGrid>
                  <w:gridCol w:w="3765"/>
                  <w:gridCol w:w="5265"/>
                </w:tblGrid>
              </w:tblGridChange>
            </w:tblGrid>
            <w:tr>
              <w:tc>
                <w:tcPr>
                  <w:tcBorders>
                    <w:top w:color="dddddd" w:space="0" w:sz="8" w:val="single"/>
                    <w:left w:color="dddddd" w:space="0" w:sz="8" w:val="single"/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80" w:firstLine="0"/>
                    <w:contextualSpacing w:val="0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highlight w:val="white"/>
                      <w:rtl w:val="0"/>
                    </w:rPr>
                    <w:t xml:space="preserve">CHECKLIST STANDARISASI PENYUSUNAN JURNAL ILMIAH</w:t>
                  </w:r>
                </w:p>
              </w:tc>
              <w:tc>
                <w:tcPr>
                  <w:tcBorders>
                    <w:top w:color="dddddd" w:space="0" w:sz="8" w:val="single"/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  <w:rtl w:val="0"/>
                    </w:rPr>
                    <w:t xml:space="preserve"> </w:t>
                  </w:r>
                </w:p>
                <w:tbl>
                  <w:tblPr>
                    <w:tblStyle w:val="Table1"/>
                    <w:tblW w:w="4935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2460"/>
                    <w:gridCol w:w="360"/>
                    <w:gridCol w:w="2115"/>
                    <w:tblGridChange w:id="0">
                      <w:tblGrid>
                        <w:gridCol w:w="2460"/>
                        <w:gridCol w:w="360"/>
                        <w:gridCol w:w="2115"/>
                      </w:tblGrid>
                    </w:tblGridChange>
                  </w:tblGrid>
                  <w:tr>
                    <w:tc>
                      <w:tcPr>
                        <w:tcBorders>
                          <w:top w:color="dddddd" w:space="0" w:sz="8" w:val="single"/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Tanggal Revisi</w:t>
                        </w:r>
                      </w:p>
                    </w:tc>
                    <w:tc>
                      <w:tcPr>
                        <w:tcBorders>
                          <w:top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:</w:t>
                        </w:r>
                      </w:p>
                    </w:tc>
                    <w:tc>
                      <w:tcPr>
                        <w:tcBorders>
                          <w:top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-</w:t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Tanggal Berlaku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: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12 April 2012</w:t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Kode Dokumen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: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FM-RHJ-016-007</w:t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color w:val="00000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</w:t>
            </w:r>
          </w:p>
          <w:tbl>
            <w:tblPr>
              <w:tblStyle w:val="Table3"/>
              <w:tblW w:w="90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950"/>
              <w:gridCol w:w="540"/>
              <w:gridCol w:w="6540"/>
              <w:tblGridChange w:id="0">
                <w:tblGrid>
                  <w:gridCol w:w="1950"/>
                  <w:gridCol w:w="540"/>
                  <w:gridCol w:w="6540"/>
                </w:tblGrid>
              </w:tblGridChange>
            </w:tblGrid>
            <w:tr>
              <w:tc>
                <w:tcPr>
                  <w:tcBorders>
                    <w:top w:color="dddddd" w:space="0" w:sz="8" w:val="single"/>
                    <w:left w:color="dddddd" w:space="0" w:sz="8" w:val="single"/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Nama Penulis 1</w:t>
                  </w:r>
                </w:p>
              </w:tc>
              <w:tc>
                <w:tcPr>
                  <w:tcBorders>
                    <w:top w:color="dddddd" w:space="0" w:sz="8" w:val="single"/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:</w:t>
                  </w:r>
                </w:p>
              </w:tc>
              <w:tc>
                <w:tcPr>
                  <w:tcBorders>
                    <w:top w:color="dddddd" w:space="0" w:sz="8" w:val="single"/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Qurotul Aini S.Kom M.T.I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left w:color="dddddd" w:space="0" w:sz="8" w:val="single"/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Nama Penulis 2</w:t>
                  </w:r>
                </w:p>
              </w:tc>
              <w:tc>
                <w:tcPr>
                  <w:tcBorders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:</w:t>
                  </w:r>
                </w:p>
              </w:tc>
              <w:tc>
                <w:tcPr>
                  <w:tcBorders>
                    <w:top w:color="dddddd" w:space="0" w:sz="8" w:val="single"/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Ir. Untung Rahardja,M.T.I.</w:t>
                  </w:r>
                </w:p>
              </w:tc>
            </w:tr>
            <w:tr>
              <w:tc>
                <w:tcPr>
                  <w:tcBorders>
                    <w:left w:color="dddddd" w:space="0" w:sz="8" w:val="single"/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Nama Penulis 3</w:t>
                  </w:r>
                </w:p>
              </w:tc>
              <w:tc>
                <w:tcPr>
                  <w:tcBorders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:</w:t>
                  </w:r>
                </w:p>
              </w:tc>
              <w:tc>
                <w:tcPr>
                  <w:tcBorders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Anggy Fatillah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left w:color="dddddd" w:space="0" w:sz="8" w:val="single"/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Judul Artikel Ilmiah</w:t>
                  </w:r>
                </w:p>
              </w:tc>
              <w:tc>
                <w:tcPr>
                  <w:tcBorders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:</w:t>
                  </w:r>
                </w:p>
              </w:tc>
              <w:tc>
                <w:tcPr>
                  <w:tcBorders>
                    <w:bottom w:color="dddddd" w:space="0" w:sz="8" w:val="single"/>
                    <w:right w:color="dddddd" w:space="0" w:sz="8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312.23999999999995" w:lineRule="auto"/>
                    <w:contextualSpacing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Penerapan Qrcode Sebagai Media Pelayanan Untuk Absensi Pada Website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12.23999999999995" w:lineRule="auto"/>
                    <w:contextualSpacing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Berbasis Php Native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</w:t>
            </w:r>
          </w:p>
          <w:tbl>
            <w:tblPr>
              <w:tblStyle w:val="Table5"/>
              <w:tblW w:w="90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030"/>
              <w:tblGridChange w:id="0">
                <w:tblGrid>
                  <w:gridCol w:w="9030"/>
                </w:tblGrid>
              </w:tblGridChange>
            </w:tblGrid>
            <w:tr>
              <w:tc>
                <w:tcPr>
                  <w:tcBorders>
                    <w:top w:color="dddddd" w:space="0" w:sz="8" w:val="single"/>
                    <w:left w:color="dddddd" w:space="0" w:sz="8" w:val="single"/>
                    <w:bottom w:color="dddddd" w:space="0" w:sz="8" w:val="single"/>
                    <w:right w:color="dddddd" w:space="0" w:sz="8" w:val="single"/>
                  </w:tcBorders>
                  <w:shd w:fill="666666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color w:val="000000"/>
                      <w:shd w:fill="666666" w:val="clear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hd w:fill="666666" w:val="clear"/>
                      <w:rtl w:val="0"/>
                    </w:rPr>
                    <w:t xml:space="preserve"> </w:t>
                  </w:r>
                </w:p>
                <w:tbl>
                  <w:tblPr>
                    <w:tblStyle w:val="Table4"/>
                    <w:tblW w:w="8760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555"/>
                    <w:gridCol w:w="2040"/>
                    <w:gridCol w:w="4710"/>
                    <w:gridCol w:w="1455"/>
                    <w:tblGridChange w:id="0">
                      <w:tblGrid>
                        <w:gridCol w:w="555"/>
                        <w:gridCol w:w="2040"/>
                        <w:gridCol w:w="4710"/>
                        <w:gridCol w:w="1455"/>
                      </w:tblGrid>
                    </w:tblGridChange>
                  </w:tblGrid>
                  <w:tr>
                    <w:tc>
                      <w:tcPr>
                        <w:tcBorders>
                          <w:top w:color="dddddd" w:space="0" w:sz="8" w:val="single"/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666666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380" w:line="240" w:lineRule="auto"/>
                          <w:contextualSpacing w:val="0"/>
                          <w:rPr>
                            <w:rFonts w:ascii="Times New Roman" w:cs="Times New Roman" w:eastAsia="Times New Roman" w:hAnsi="Times New Roman"/>
                            <w:b w:val="1"/>
                            <w:color w:val="ffffff"/>
                            <w:sz w:val="20"/>
                            <w:szCs w:val="20"/>
                            <w:shd w:fill="666666" w:val="clear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color w:val="ffffff"/>
                            <w:sz w:val="20"/>
                            <w:szCs w:val="20"/>
                            <w:shd w:fill="666666" w:val="clear"/>
                            <w:rtl w:val="0"/>
                          </w:rPr>
                          <w:t xml:space="preserve">NO</w:t>
                        </w:r>
                      </w:p>
                    </w:tc>
                    <w:tc>
                      <w:tcPr>
                        <w:tcBorders>
                          <w:top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666666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380" w:line="240" w:lineRule="auto"/>
                          <w:contextualSpacing w:val="0"/>
                          <w:rPr>
                            <w:rFonts w:ascii="Times New Roman" w:cs="Times New Roman" w:eastAsia="Times New Roman" w:hAnsi="Times New Roman"/>
                            <w:b w:val="1"/>
                            <w:color w:val="ffffff"/>
                            <w:sz w:val="20"/>
                            <w:szCs w:val="20"/>
                            <w:shd w:fill="666666" w:val="clear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color w:val="ffffff"/>
                            <w:sz w:val="20"/>
                            <w:szCs w:val="20"/>
                            <w:shd w:fill="666666" w:val="clear"/>
                            <w:rtl w:val="0"/>
                          </w:rPr>
                          <w:t xml:space="preserve">URAIAN</w:t>
                        </w:r>
                      </w:p>
                    </w:tc>
                    <w:tc>
                      <w:tcPr>
                        <w:tcBorders>
                          <w:top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666666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380" w:line="240" w:lineRule="auto"/>
                          <w:contextualSpacing w:val="0"/>
                          <w:rPr>
                            <w:rFonts w:ascii="Times New Roman" w:cs="Times New Roman" w:eastAsia="Times New Roman" w:hAnsi="Times New Roman"/>
                            <w:b w:val="1"/>
                            <w:color w:val="ffffff"/>
                            <w:sz w:val="20"/>
                            <w:szCs w:val="20"/>
                            <w:shd w:fill="666666" w:val="clear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color w:val="ffffff"/>
                            <w:sz w:val="20"/>
                            <w:szCs w:val="20"/>
                            <w:shd w:fill="666666" w:val="clear"/>
                            <w:rtl w:val="0"/>
                          </w:rPr>
                          <w:t xml:space="preserve">KETERANGAN</w:t>
                        </w:r>
                      </w:p>
                    </w:tc>
                    <w:tc>
                      <w:tcPr>
                        <w:tcBorders>
                          <w:top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666666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380" w:line="240" w:lineRule="auto"/>
                          <w:contextualSpacing w:val="0"/>
                          <w:rPr>
                            <w:rFonts w:ascii="Times New Roman" w:cs="Times New Roman" w:eastAsia="Times New Roman" w:hAnsi="Times New Roman"/>
                            <w:b w:val="1"/>
                            <w:color w:val="ffffff"/>
                            <w:sz w:val="20"/>
                            <w:szCs w:val="20"/>
                            <w:shd w:fill="666666" w:val="clear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color w:val="ffffff"/>
                            <w:sz w:val="20"/>
                            <w:szCs w:val="20"/>
                            <w:shd w:fill="666666" w:val="clear"/>
                            <w:rtl w:val="0"/>
                          </w:rPr>
                          <w:t xml:space="preserve">CHECKLIST</w:t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line="240" w:lineRule="auto"/>
                          <w:contextualSpacing w:val="0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Template Paper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Template: http://www.stmik-raharja.com/yusup4/standar/template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contextualSpacing w:val="0"/>
                          <w:jc w:val="center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Mind Map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Cara mengembangkan kegiatan berfikir ke segala arah, menangkap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berbagai fikiran dalam berbagai sudut.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Mind map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 dapat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menemukan ide yang inovatif dan jalan keluar yang kreatif.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contextualSpacing w:val="0"/>
                          <w:jc w:val="center"/>
                          <w:rPr>
                            <w:color w:val="000000"/>
                            <w:shd w:fill="666666" w:val="clear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5" name="image6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6.gif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Formulir Bimbingan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Memiliki Formulir Bimbingan yang telah di cetak oleh RPU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gridSpan w:val="4"/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b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STANDARISASI HALAMAN JURNAL ILMIAH</w:t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Abstraksi dalam Bhs. Indonesia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½ halaman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contextualSpacing w:val="0"/>
                          <w:jc w:val="center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4" name="image5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5.gif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Abstraksi dalam Bhs. Inggris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½ halaman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contextualSpacing w:val="0"/>
                          <w:jc w:val="center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7" name="image8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8.gif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6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Pendahuluan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 halaman – 1 ½ halaman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contextualSpacing w:val="0"/>
                          <w:jc w:val="center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6" name="image7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7.gif"/>
                                      <pic:cNvPicPr preferRelativeResize="0"/>
                                    </pic:nvPicPr>
                                    <pic:blipFill>
                                      <a:blip r:embed="rId8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7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Permasalahan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 ½ halaman – 3 halaman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contextualSpacing w:val="0"/>
                          <w:jc w:val="center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9" name="image10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10.gif"/>
                                      <pic:cNvPicPr preferRelativeResize="0"/>
                                    </pic:nvPicPr>
                                    <pic:blipFill>
                                      <a:blip r:embed="rId9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8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Literature Review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3 halaman – 5 halaman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contextualSpacing w:val="0"/>
                          <w:jc w:val="center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8" name="image9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9.gif"/>
                                      <pic:cNvPicPr preferRelativeResize="0"/>
                                    </pic:nvPicPr>
                                    <pic:blipFill>
                                      <a:blip r:embed="rId10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9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Pemecahan Masalah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6 halaman – 8 halaman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contextualSpacing w:val="0"/>
                          <w:jc w:val="center"/>
                          <w:rPr>
                            <w:color w:val="000000"/>
                            <w:shd w:fill="666666" w:val="clear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16" name="image17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17.gif"/>
                                      <pic:cNvPicPr preferRelativeResize="0"/>
                                    </pic:nvPicPr>
                                    <pic:blipFill>
                                      <a:blip r:embed="rId11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10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Implementasi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3 halaman – 5 halaman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contextualSpacing w:val="0"/>
                          <w:jc w:val="center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11" name="image12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12.gif"/>
                                      <pic:cNvPicPr preferRelativeResize="0"/>
                                    </pic:nvPicPr>
                                    <pic:blipFill>
                                      <a:blip r:embed="rId12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11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Kesimpulan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½ halaman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contextualSpacing w:val="0"/>
                          <w:jc w:val="center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10" name="image11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11.gif"/>
                                      <pic:cNvPicPr preferRelativeResize="0"/>
                                    </pic:nvPicPr>
                                    <pic:blipFill>
                                      <a:blip r:embed="rId13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12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Pustaka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 halaman – 1 ½ halaman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contextualSpacing w:val="0"/>
                          <w:jc w:val="center"/>
                          <w:rPr>
                            <w:color w:val="000000"/>
                            <w:shd w:fill="666666" w:val="clear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15" name="image16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16.gif"/>
                                      <pic:cNvPicPr preferRelativeResize="0"/>
                                    </pic:nvPicPr>
                                    <pic:blipFill>
                                      <a:blip r:embed="rId14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gridSpan w:val="4"/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b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STANDARISASI KONTEN JURNAL ILMIAH</w:t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13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Algoritma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Algoritma berupa uraian kalimat deskripsi (narasi) dari sistem.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contextualSpacing w:val="0"/>
                          <w:jc w:val="center"/>
                          <w:rPr>
                            <w:color w:val="000000"/>
                            <w:shd w:fill="666666" w:val="clear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2" name="image3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3.gif"/>
                                      <pic:cNvPicPr preferRelativeResize="0"/>
                                    </pic:nvPicPr>
                                    <pic:blipFill>
                                      <a:blip r:embed="rId15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14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Flowchart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Menggambarkan secara visual dari langkah-langkah dan urutan-urutan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prosedur.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contextualSpacing w:val="0"/>
                          <w:jc w:val="center"/>
                          <w:rPr>
                            <w:color w:val="000000"/>
                            <w:shd w:fill="666666" w:val="clear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12" name="image13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13.gif"/>
                                      <pic:cNvPicPr preferRelativeResize="0"/>
                                    </pic:nvPicPr>
                                    <pic:blipFill>
                                      <a:blip r:embed="rId16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15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Pseudo Code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Imitasi atau mirip menyerupai kode dari program atau kode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yang mirip dengan instruksi kode program yang sebenarnya.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contextualSpacing w:val="0"/>
                          <w:jc w:val="center"/>
                          <w:rPr>
                            <w:color w:val="000000"/>
                            <w:shd w:fill="666666" w:val="clear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3" name="image4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4.gif"/>
                                      <pic:cNvPicPr preferRelativeResize="0"/>
                                    </pic:nvPicPr>
                                    <pic:blipFill>
                                      <a:blip r:embed="rId17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16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Listing Program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Kode yang ditulis sehingga menjadi sebuah program yang berfungsi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untuk menjalankan perintah bagi komputer.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contextualSpacing w:val="0"/>
                          <w:jc w:val="center"/>
                          <w:rPr>
                            <w:color w:val="000000"/>
                            <w:shd w:fill="666666" w:val="clear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13" name="image14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14.gif"/>
                                      <pic:cNvPicPr preferRelativeResize="0"/>
                                    </pic:nvPicPr>
                                    <pic:blipFill>
                                      <a:blip r:embed="rId18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17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Figure dan Tabel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Figure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 adalah teks yang ada dalam bentuk bingkai.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Sedangkan tabel adalah data yang digambarkan dalam bentuk baris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dan kolom.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contextualSpacing w:val="0"/>
                          <w:jc w:val="center"/>
                          <w:rPr>
                            <w:color w:val="000000"/>
                            <w:shd w:fill="666666" w:val="clear"/>
                          </w:rPr>
                        </w:pP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1" name="image2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2.gif"/>
                                      <pic:cNvPicPr preferRelativeResize="0"/>
                                    </pic:nvPicPr>
                                    <pic:blipFill>
                                      <a:blip r:embed="rId19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18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Diagram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Representasi dua dimensi simbol geometris informasi menurut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beberapa teknik visualisasi.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19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Prototype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Wakil dan bentuk manifestasi dari ide-ide desain guna mendapatkan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dampak desain kedepannya sebelum desain dikembangkan.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 </w:t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20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Architecture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Desain sistem komputer secara keseluruhan (termasuk sistem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jaringan) untuk memenuhi kebutuhan-kebutuhan organisasi yang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spesifik.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 </w:t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21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Equation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Equation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 atau persamaan matematika adalah sebuah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pernyataan matematis yang menunjukkan kesamaan dua ekspresi.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 </w:t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22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Graph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Graph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atau grafik yang menggunakan titik-titik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atau garis untuk menyampaikan informasi statistik yang saling berhubungan.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 </w:t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23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Pictures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Berupa gambar.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center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/>
                          <w:drawing>
                            <wp:inline distB="114300" distT="114300" distL="114300" distR="114300">
                              <wp:extent cx="271463" cy="271463"/>
                              <wp:effectExtent b="0" l="0" r="0" t="0"/>
                              <wp:docPr descr="check_icon.gif" id="14" name="image15.gif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check_icon.gif" id="0" name="image15.gif"/>
                                      <pic:cNvPicPr preferRelativeResize="0"/>
                                    </pic:nvPicPr>
                                    <pic:blipFill>
                                      <a:blip r:embed="rId20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463" cy="2714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left w:color="dddddd" w:space="0" w:sz="8" w:val="single"/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24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Literature Review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Jurnal Ilmiah memuat 5 s/d 7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i w:val="1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Literature Review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.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left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http://www.stmik-raharja.com/yusup4/standar/literature</w:t>
                        </w:r>
                      </w:p>
                    </w:tc>
                    <w:tc>
                      <w:tcPr>
                        <w:tcBorders>
                          <w:bottom w:color="dddddd" w:space="0" w:sz="8" w:val="single"/>
                          <w:right w:color="dddddd" w:space="0" w:sz="8" w:val="single"/>
                        </w:tcBorders>
                        <w:shd w:fill="ffffff" w:val="clear"/>
                        <w:tcMar>
                          <w:top w:w="120.0" w:type="dxa"/>
                          <w:left w:w="120.0" w:type="dxa"/>
                          <w:bottom w:w="120.0" w:type="dxa"/>
                          <w:right w:w="1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contextualSpacing w:val="0"/>
                          <w:jc w:val="center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  <w:highlight w:val="white"/>
                            <w:rtl w:val="0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color w:val="00000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gif"/><Relationship Id="rId11" Type="http://schemas.openxmlformats.org/officeDocument/2006/relationships/image" Target="media/image17.gif"/><Relationship Id="rId10" Type="http://schemas.openxmlformats.org/officeDocument/2006/relationships/image" Target="media/image9.gif"/><Relationship Id="rId13" Type="http://schemas.openxmlformats.org/officeDocument/2006/relationships/image" Target="media/image11.gif"/><Relationship Id="rId12" Type="http://schemas.openxmlformats.org/officeDocument/2006/relationships/image" Target="media/image12.gif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0.gif"/><Relationship Id="rId15" Type="http://schemas.openxmlformats.org/officeDocument/2006/relationships/image" Target="media/image3.gif"/><Relationship Id="rId14" Type="http://schemas.openxmlformats.org/officeDocument/2006/relationships/image" Target="media/image16.gif"/><Relationship Id="rId17" Type="http://schemas.openxmlformats.org/officeDocument/2006/relationships/image" Target="media/image4.gif"/><Relationship Id="rId16" Type="http://schemas.openxmlformats.org/officeDocument/2006/relationships/image" Target="media/image13.gif"/><Relationship Id="rId5" Type="http://schemas.openxmlformats.org/officeDocument/2006/relationships/image" Target="media/image6.gif"/><Relationship Id="rId19" Type="http://schemas.openxmlformats.org/officeDocument/2006/relationships/image" Target="media/image2.gif"/><Relationship Id="rId6" Type="http://schemas.openxmlformats.org/officeDocument/2006/relationships/image" Target="media/image5.gif"/><Relationship Id="rId18" Type="http://schemas.openxmlformats.org/officeDocument/2006/relationships/image" Target="media/image14.gif"/><Relationship Id="rId7" Type="http://schemas.openxmlformats.org/officeDocument/2006/relationships/image" Target="media/image8.gif"/><Relationship Id="rId8" Type="http://schemas.openxmlformats.org/officeDocument/2006/relationships/image" Target="media/image7.gif"/></Relationships>
</file>